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F778">
      <w:pPr>
        <w:pStyle w:val="19"/>
      </w:pPr>
      <w:r>
        <w:t>拉萨市旅馆业治安管理办法</w:t>
      </w:r>
    </w:p>
    <w:p w14:paraId="5710B940">
      <w:pPr>
        <w:pStyle w:val="16"/>
      </w:pPr>
      <w:r>
        <w:t xml:space="preserve">（2012年5月31日拉萨市人民政府第39号令公布 </w:t>
      </w:r>
      <w:bookmarkStart w:id="1" w:name="_GoBack"/>
      <w:bookmarkEnd w:id="1"/>
      <w:r>
        <w:t>2026年</w:t>
      </w:r>
    </w:p>
    <w:p w14:paraId="1CA55B63">
      <w:pPr>
        <w:pStyle w:val="16"/>
      </w:pPr>
      <w:r>
        <w:t>5月15日拉萨市人民政府第82号令修订）</w:t>
      </w:r>
    </w:p>
    <w:p w14:paraId="0D4C0A7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87777B7">
      <w:pPr>
        <w:pStyle w:val="13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《拉萨市旅馆业治安管理办法》已经2026年4月23日拉萨市第十二届人民政府第75次常务会议修订通过，现予公布，自2026月7月1日起施行。</w:t>
      </w:r>
    </w:p>
    <w:p w14:paraId="679D499D">
      <w:pPr>
        <w:jc w:val="center"/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</w:p>
    <w:p w14:paraId="2B2139B4">
      <w:pPr>
        <w:pStyle w:val="2"/>
        <w:keepNext w:val="0"/>
        <w:keepLines w:val="0"/>
        <w:pageBreakBefore w:val="0"/>
        <w:widowControl w:val="0"/>
      </w:pPr>
    </w:p>
    <w:p w14:paraId="50434676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为了加强本市旅馆业治安管理，保障旅馆业的正常经营和旅客的生命财产安全，维护社会治安秩序，根据《中华人民共和国治安管理处罚法》《旅馆业治安管理办法》等有关法律、法规的规定，结合本市实际，制定本办法。</w:t>
      </w:r>
    </w:p>
    <w:p w14:paraId="394AD878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本市行政区域内旅馆业的治安管理工作适用本办法。</w:t>
      </w:r>
    </w:p>
    <w:p w14:paraId="3B68BBB3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本办法所称旅馆，是指向社会公众提供住宿服务的经营场所，包括宾馆、饭店、旅店、公寓式酒店、客栈、招待所、家庭式旅馆、电竞酒店、乡村（旅游）民宿以及提供住宿服务的洗浴、度假等经营场所。</w:t>
      </w:r>
    </w:p>
    <w:p w14:paraId="47B992E6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公安机关是本市旅馆业治安管理工作的主管部门。</w:t>
      </w:r>
    </w:p>
    <w:p w14:paraId="6D17DA72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文化旅游、卫生健康、市场监督管理、消防救援等部门应当按照各自职责做好旅馆业治安管理相关工作。</w:t>
      </w:r>
    </w:p>
    <w:p w14:paraId="3942BF53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旅馆经营者应当遵守法律法规，建立健全安全管理制度，加强治安管理工作。</w:t>
      </w:r>
    </w:p>
    <w:p w14:paraId="093F58A5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开办旅馆应当具备下列条件：</w:t>
      </w:r>
    </w:p>
    <w:p w14:paraId="55019346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对经营场所享有合法的所有权或者使用权；</w:t>
      </w:r>
    </w:p>
    <w:p w14:paraId="5F5A7BA4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旅馆与其所在建筑物中的非旅馆部分之间有隔离设施；</w:t>
      </w:r>
    </w:p>
    <w:p w14:paraId="1F98FE6A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客房区为独立区域，与旅馆内的娱乐、商业等附属服务设施分隔；</w:t>
      </w:r>
    </w:p>
    <w:p w14:paraId="5B00027E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出入口、通道、电梯及其他公共区域安装有公共安全视频图像采集设备；</w:t>
      </w:r>
    </w:p>
    <w:p w14:paraId="71C21725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有符合旅馆业治安管理信息系统要求的设备设施；</w:t>
      </w:r>
    </w:p>
    <w:p w14:paraId="1FE41559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有旅客财物、行李保管室或者保险箱（柜）以及其他治安防范设施；</w:t>
      </w:r>
    </w:p>
    <w:p w14:paraId="3ED74B40">
      <w:pPr>
        <w:pStyle w:val="1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法律、法规、规章规定的其他条件。</w:t>
      </w:r>
    </w:p>
    <w:p w14:paraId="06A7A0F4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旅馆业实行特种行业许可制度。</w:t>
      </w:r>
    </w:p>
    <w:p w14:paraId="0164F3BD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申请开办旅馆的，申请人应当向开办旅馆所在地的县（区）公安机关申请办理《特种行业许可证》。</w:t>
      </w:r>
    </w:p>
    <w:p w14:paraId="72A78ACD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未取得《特种行业许可证》的，不得擅自从事旅馆经营；取得《特种行业许可证》的，应当在许可范围内从事旅馆经营。</w:t>
      </w:r>
    </w:p>
    <w:p w14:paraId="2A83DAA5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申请《特种行业许可证》，应当提交下列材料：</w:t>
      </w:r>
    </w:p>
    <w:p w14:paraId="50847365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法定代表人或者非法人单位主要负责人的身份证明；</w:t>
      </w:r>
    </w:p>
    <w:p w14:paraId="19F0D33D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营业执照；</w:t>
      </w:r>
    </w:p>
    <w:p w14:paraId="5A2101C5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经营场所的产权证明或者租赁使用证明；</w:t>
      </w:r>
    </w:p>
    <w:p w14:paraId="1B9FCEE0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旅馆客房数量、床位数量，旅馆方位图及其内部平面图；</w:t>
      </w:r>
    </w:p>
    <w:p w14:paraId="5EEE49F8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旅馆治安管理制度和突发事件应急预案；</w:t>
      </w:r>
    </w:p>
    <w:p w14:paraId="29E8C594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旅馆治安保卫负责人、治安保卫人员、登记验证人员的基本情况；</w:t>
      </w:r>
    </w:p>
    <w:p w14:paraId="24C2F6EB">
      <w:pPr>
        <w:pStyle w:val="1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法律、法规、规章规定需要提供的其他材料。</w:t>
      </w:r>
    </w:p>
    <w:p w14:paraId="79D349AC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申请《特种行业许可证》实行告知承诺制。</w:t>
      </w:r>
    </w:p>
    <w:p w14:paraId="4770DE2E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申请人可以自主选择是否采用告知承诺制的方式办理。</w:t>
      </w:r>
    </w:p>
    <w:p w14:paraId="3CF19442">
      <w:pPr>
        <w:pStyle w:val="13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申请人有较严重的不良信用记录或者存在曾作出虚假承诺等情形的，在信用修复前不适用告知承诺制。</w:t>
      </w:r>
    </w:p>
    <w:p w14:paraId="70803532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trike w:val="0"/>
          <w:dstrike w:val="0"/>
          <w:vanish w:val="0"/>
          <w:sz w:val="24"/>
          <w:szCs w:val="24"/>
          <w:u w:val="none"/>
          <w:bdr w:val="none" w:sz="0" w:space="0"/>
        </w:rPr>
      </w:pP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公安机关应当制作《旅馆业特种行业许可证核发告知承诺书》（以下简称《告知承诺书》）。《告知承诺书》应当包含告知事项和承诺事项。</w:t>
      </w:r>
    </w:p>
    <w:p w14:paraId="54A2B17A">
      <w:pPr>
        <w:pStyle w:val="13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申请人申请《特种行业许可证》时，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公安机关应当通过《告知承诺书》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一次性告知申请人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行政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审批的主体和依据、许可条件、应当提交的材料、承诺内容、承诺的效力及不实承诺应当承担的法律责任等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。</w:t>
      </w:r>
    </w:p>
    <w:p w14:paraId="0E838F34"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strike w:val="0"/>
          <w:dstrike w:val="0"/>
          <w:vanish w:val="0"/>
          <w:sz w:val="24"/>
          <w:szCs w:val="24"/>
          <w:u w:val="none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申请人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选择采用告知承诺制方式的，应当签署《告知承诺书》，承诺已知晓告知事项、已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符合旅馆开办条件及愿意承担不实承诺的法律责任等。</w:t>
      </w:r>
    </w:p>
    <w:p w14:paraId="2CC66B9F">
      <w:pPr>
        <w:pStyle w:val="13"/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公安机关收到申请人签署的《告知承诺书》和相关材料后，应当当场审核。对符合基本条件（包括已办理商事登记、法定代表人或者其委托代理人到场，下同）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，且当场提交审批所需全部材料或者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《告知承诺书》中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作出在规定时间内提交审批所需全部材料承诺的，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作出行政审批决定，并现场制作发放《特种行业许可证》。对不符合基本条件的，公安机关应当当场告知原因。</w:t>
      </w:r>
    </w:p>
    <w:p w14:paraId="349F762B">
      <w:pPr>
        <w:pStyle w:val="13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公安机关在收到审批所需的全部材料后七个工作日内，应当通过资料核对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现场核查等方式对申请人的承诺内容真实情况进行核查。发现申请人实际情况与承诺内容不符的，应当要求其限期整改。</w:t>
      </w:r>
    </w:p>
    <w:p w14:paraId="4BB71BBA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申请人不符合告知承诺制适用条件的或者申请人不采用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告知承诺制方式的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，公安机关应当自受理申请之日起七个工作日内，根据旅馆开办条件，对旅馆进行实地核查。经核查符合条件的，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作出行政审批决定，并制作发放《特种行业许可证》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；对不符合条件的，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作出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不予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行政审批决定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，并书面说明理由。</w:t>
      </w:r>
    </w:p>
    <w:p w14:paraId="2F6AAF41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旅馆的名称、法定代表人或者非法人单位主要负责人等许可事项发生变更的，应当自许可事项变更之日起三个工作日内，到原作出许可决定的公安机关办理《特种行业许可证》变更手续。</w:t>
      </w:r>
    </w:p>
    <w:p w14:paraId="4E82399D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因翻修、改造、扩建、合并等原因改变原有开办条件的，原作出许可决定的公安机关应当重新进行核查。</w:t>
      </w:r>
    </w:p>
    <w:p w14:paraId="42402247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旅馆迁移地址的，应当向新址所在地公安机关重新申请《特种行业许可证》。</w:t>
      </w:r>
    </w:p>
    <w:p w14:paraId="15E5036D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禁止涂改、倒卖、出租或者以其他形式非法转让《特种行业许可证》。</w:t>
      </w:r>
    </w:p>
    <w:p w14:paraId="3CFF1A7A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旅馆停业、歇业的，应当在停业、歇业的三日内向原作出许可决定的公安机关备案。</w:t>
      </w:r>
    </w:p>
    <w:p w14:paraId="43B19542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旅馆及其工作人员应当履行下列职责：</w:t>
      </w:r>
    </w:p>
    <w:p w14:paraId="4276A1A7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落实治安管理制度和治安防范措施，发现不安全隐患及时进行整改；</w:t>
      </w:r>
    </w:p>
    <w:p w14:paraId="2B97DF87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落实突发事件应急预案，定期组织演练；组织工作人员接受治安防范知识和技能培训；</w:t>
      </w:r>
    </w:p>
    <w:p w14:paraId="6993806F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建立旅客验证登记制度，按照规定设专人查验旅客身份证件，并录入旅馆业治安管理信息系统；</w:t>
      </w:r>
    </w:p>
    <w:p w14:paraId="599AB2EF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建立会客登记制度；</w:t>
      </w:r>
    </w:p>
    <w:p w14:paraId="7DF701F6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及时制止违反旅馆治安管理制度的行为；</w:t>
      </w:r>
    </w:p>
    <w:p w14:paraId="316EB146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保证公共安全视频图像信息系统在旅馆营业期间正常运行，不得中断；图像信息资料的保存期限不得少于三十日；</w:t>
      </w:r>
    </w:p>
    <w:p w14:paraId="7EAF3080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对旅客遗留的财物妥善保管；无法归还原主的，送交公安机关；</w:t>
      </w:r>
    </w:p>
    <w:p w14:paraId="24E81E5A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接受公安机关的指导、监督和检查；配合公安机关执行公务；</w:t>
      </w:r>
    </w:p>
    <w:p w14:paraId="66915B7B">
      <w:pPr>
        <w:pStyle w:val="13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法律、法规、规章规定的其他职责。</w:t>
      </w:r>
    </w:p>
    <w:p w14:paraId="32D23FC3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接待未成年人入住，或者接待未成年人和成年人共同入住时，应当咨询未成年人父母或者其他监护人的联系方式、入住人员的身份关系等有关情况；发现有违法犯罪嫌疑的，应当立即向公安机关报告，并及时联系未成年人的父母或者其他监护人。</w:t>
      </w:r>
    </w:p>
    <w:p w14:paraId="3D840A54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旅馆应当按照《中华人民共和国出入境管理办法》的相关要求向公安机关报送入住的境外旅客住宿登记信息。</w:t>
      </w:r>
    </w:p>
    <w:p w14:paraId="25863A58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旅馆及其工作人员应当依法保护旅客个人信息，不得泄露旅客个人信息和视频监控等信息。</w:t>
      </w:r>
    </w:p>
    <w:p w14:paraId="4E242492">
      <w:pPr>
        <w:pStyle w:val="13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旅馆应当确保客房内没有安装偷窥、偷拍、窃听等设备。</w:t>
      </w:r>
    </w:p>
    <w:p w14:paraId="530FED3B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旅馆及其工作人员，不得强迫他人接受住宿服务；不得为违法犯罪行为提供条件；不得为违法犯罪行为人通风报信、包庇、纵容或者隐瞒违法犯罪活动。</w:t>
      </w:r>
    </w:p>
    <w:p w14:paraId="7E20199C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旅馆及其工作人员发现住宿旅客携带爆炸性、毒害性、放射性、腐蚀性物质或者传染病病原体等危险物质的，应当制止其带入住宿区域。</w:t>
      </w:r>
    </w:p>
    <w:p w14:paraId="71262B08">
      <w:pPr>
        <w:pStyle w:val="13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旅馆及其工作人员发现下列情况的，应当及时报告公安机关：</w:t>
      </w:r>
    </w:p>
    <w:p w14:paraId="7EF6F0B3">
      <w:pPr>
        <w:pStyle w:val="13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有违法犯罪嫌疑人和被公安机关通缉的人员住宿的；</w:t>
      </w:r>
    </w:p>
    <w:p w14:paraId="0DB76C10">
      <w:pPr>
        <w:pStyle w:val="13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住宿旅客携带反动宣传物品、淫秽物品、毒品等违禁物品的；</w:t>
      </w:r>
    </w:p>
    <w:p w14:paraId="775262E8">
      <w:pPr>
        <w:pStyle w:val="13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旅客使用已过期的身份证件或者有伪造、涂改身份证件等情形的。</w:t>
      </w:r>
    </w:p>
    <w:p w14:paraId="4F8E737E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旅客住宿时应当按照规定持合法有效证件办理住宿登记手续，遵守旅馆的治安管理规定。</w:t>
      </w:r>
    </w:p>
    <w:p w14:paraId="57F72BC9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县（区）公安机关应当履行下列职责：</w:t>
      </w:r>
    </w:p>
    <w:p w14:paraId="042BA142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指导、监督旅馆建立并落实治安管理制度和治安防范措施；</w:t>
      </w:r>
    </w:p>
    <w:p w14:paraId="799A1F8D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对旅馆进行治安检查；</w:t>
      </w:r>
      <w:bookmarkStart w:id="0" w:name="bookmark730"/>
    </w:p>
    <w:bookmarkEnd w:id="0"/>
    <w:p w14:paraId="54E3CD99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建立旅馆治安管理档案；</w:t>
      </w:r>
    </w:p>
    <w:p w14:paraId="3961032F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建立旅馆业治安不良信息记录制度；</w:t>
      </w:r>
    </w:p>
    <w:p w14:paraId="6CB0F103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依法及时查处发生在旅馆的违法犯罪行为；</w:t>
      </w:r>
    </w:p>
    <w:p w14:paraId="5BE43229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组织指导旅馆开展治安防范知识培训，宣传有关法律、法规、规章；</w:t>
      </w:r>
    </w:p>
    <w:p w14:paraId="4B99AF70">
      <w:pPr>
        <w:pStyle w:val="13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依法履行其他职责。</w:t>
      </w:r>
    </w:p>
    <w:p w14:paraId="0541FCD3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公安机关对违反治安管理行为有关的旅馆进行检查时，人民警察不得少于二人，并应当出示人民警察证和县（区）公安机关开具的检查证。对确有必要立即进行检查的，人民警察经出示人民警察证，可当场检查，并应当全程同步录音录像。</w:t>
      </w:r>
    </w:p>
    <w:p w14:paraId="78BF7BE1">
      <w:pPr>
        <w:pStyle w:val="13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公安机关对旅馆进行日常执法监督检查，依照有关法律、法规和规章执行，不适用前款规定。</w:t>
      </w:r>
    </w:p>
    <w:p w14:paraId="1CBD47D4">
      <w:pPr>
        <w:pStyle w:val="13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公安机关依法开展检查，应当避免或者减少对旅馆正常经营活动的影响，依法保护公民个人隐私和商业秘密。</w:t>
      </w:r>
    </w:p>
    <w:p w14:paraId="28A8946A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申请人隐瞒有关情况或者提供虚假材料申请《特种行业许可证》的，公安机关不予受理或者不予许可，并予以警告，在一年内不得再次申请；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以欺骗、贿赂等不正当手段取得《特种行业许可证》的，由原作出许可决定的公安机关予以撤销，并在三年内不再受理其申请。</w:t>
      </w:r>
    </w:p>
    <w:p w14:paraId="69B7AC93">
      <w:pPr>
        <w:pStyle w:val="13"/>
        <w:widowControl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trike w:val="0"/>
          <w:dstrike w:val="0"/>
          <w:vanish w:val="0"/>
          <w:sz w:val="24"/>
          <w:szCs w:val="24"/>
          <w:u w:val="none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申请人在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《告知承诺书》中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作出按规定时间提交审批所需全部材料承诺，逾期未提交的，公安机关</w:t>
      </w: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应当依法撤销行政许可决定，并收回《特种行业许可证》。</w:t>
      </w:r>
    </w:p>
    <w:p w14:paraId="60976C88">
      <w:pPr>
        <w:pStyle w:val="13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trike w:val="0"/>
          <w:dstrike w:val="0"/>
          <w:vanish w:val="0"/>
          <w:sz w:val="24"/>
          <w:szCs w:val="24"/>
          <w:u w:val="none"/>
        </w:rPr>
        <w:t>公安机关通过资料核对、现场核查等方式对申请人的承诺内容真实情况进行核查，发现申请人实际情况与承诺内容不符，要求其限期整改，逾期拒不整改或者整改后仍不符合条件的，应当依法撤销行政许可决定，并收回《特种行业许可证》。</w:t>
      </w:r>
    </w:p>
    <w:p w14:paraId="4CC4383D">
      <w:pPr>
        <w:pStyle w:val="13"/>
        <w:widowControl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违反本办法规定，未取得《特种行业许可证》擅自从事旅馆经营的，由县（区）公安机关予以取缔，并按照《中华人民共和国治安管理处罚法》第六十五条规定处罚。</w:t>
      </w:r>
    </w:p>
    <w:p w14:paraId="40909FFD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违反本办法规定，涂改、倒卖、出租或者以其他形式非法转让《特种行业许可证》的，由县（区）公安机关按照《中华人民共和国治安管理处罚法》第六十三条规定处罚。</w:t>
      </w:r>
    </w:p>
    <w:p w14:paraId="3C8CEB82">
      <w:pPr>
        <w:pStyle w:val="13"/>
        <w:numPr>
          <w:ilvl w:val="0"/>
          <w:numId w:val="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违反本办法第十六条、第十九条规定的，按照《中华人民共和国治安管理处罚法》《中华人民共和国未成年人保护法》等法律、法规的规定处罚。</w:t>
      </w:r>
    </w:p>
    <w:p w14:paraId="40846D9A">
      <w:pPr>
        <w:pStyle w:val="4"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违反本办法规定的其他行为，依照有关法律、法规的规定处罚。</w:t>
      </w:r>
    </w:p>
    <w:p w14:paraId="664373B4">
      <w:pPr>
        <w:pStyle w:val="4"/>
        <w:widowControl/>
        <w:numPr>
          <w:ilvl w:val="0"/>
          <w:numId w:val="1"/>
        </w:numPr>
        <w:ind w:left="0" w:leftChars="0" w:firstLine="480" w:firstLineChars="0"/>
        <w:rPr>
          <w:b w:val="0"/>
          <w:bdr w:val="none" w:sz="0" w:space="0"/>
        </w:rPr>
      </w:pPr>
      <w:r>
        <w:t>本办法自2026年7月1日起施行。</w:t>
      </w:r>
    </w:p>
    <w:sectPr>
      <w:footerReference r:id="rId3" w:type="default"/>
      <w:pgSz w:w="11906" w:h="16839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AA5A0">
    <w:pPr>
      <w:pStyle w:val="1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方正仿宋_GBK" w:eastAsia="方正仿宋_GBK" w:cs="方正仿宋_GBK"/>
        <w:sz w:val="28"/>
        <w:szCs w:val="28"/>
      </w:rPr>
    </w:pPr>
    <w:r>
      <w:rPr>
        <w:rStyle w:val="23"/>
        <w:rFonts w:hint="eastAsia" w:ascii="方正仿宋_GBK" w:eastAsia="方正仿宋_GBK" w:cs="方正仿宋_GBK"/>
        <w:sz w:val="28"/>
        <w:szCs w:val="28"/>
      </w:rPr>
      <w:fldChar w:fldCharType="begin"/>
    </w:r>
    <w:r>
      <w:rPr>
        <w:rStyle w:val="23"/>
        <w:rFonts w:hint="eastAsia" w:ascii="方正仿宋_GBK" w:eastAsia="方正仿宋_GBK" w:cs="方正仿宋_GBK"/>
        <w:sz w:val="28"/>
        <w:szCs w:val="28"/>
      </w:rPr>
      <w:instrText xml:space="preserve">Page</w:instrText>
    </w:r>
    <w:r>
      <w:rPr>
        <w:rStyle w:val="23"/>
        <w:rFonts w:hint="eastAsia" w:ascii="方正仿宋_GBK" w:eastAsia="方正仿宋_GBK" w:cs="方正仿宋_GBK"/>
        <w:sz w:val="28"/>
        <w:szCs w:val="28"/>
      </w:rPr>
      <w:fldChar w:fldCharType="separate"/>
    </w:r>
    <w:r>
      <w:rPr>
        <w:rStyle w:val="23"/>
        <w:rFonts w:hint="eastAsia" w:ascii="方正仿宋_GBK" w:eastAsia="方正仿宋_GBK" w:cs="方正仿宋_GBK"/>
        <w:sz w:val="28"/>
        <w:szCs w:val="28"/>
      </w:rPr>
      <w:t>1</w:t>
    </w:r>
    <w:r>
      <w:rPr>
        <w:rStyle w:val="23"/>
        <w:rFonts w:hint="eastAsia" w:ascii="方正仿宋_GBK" w:eastAsia="方正仿宋_GBK" w:cs="方正仿宋_GBK"/>
        <w:sz w:val="28"/>
        <w:szCs w:val="28"/>
      </w:rPr>
      <w:fldChar w:fldCharType="end"/>
    </w:r>
  </w:p>
  <w:p w14:paraId="64161682">
    <w:pPr>
      <w:pStyle w:val="1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2D8BD"/>
    <w:multiLevelType w:val="singleLevel"/>
    <w:tmpl w:val="9D22D8BD"/>
    <w:lvl w:ilvl="0" w:tentative="0">
      <w:start w:val="1"/>
      <w:numFmt w:val="chineseCounting"/>
      <w:suff w:val="space"/>
      <w:lvlText w:val="第%1条"/>
      <w:lvlJc w:val="left"/>
      <w:pPr>
        <w:ind w:left="0" w:firstLine="480"/>
      </w:pPr>
      <w:rPr>
        <w:rFonts w:hint="eastAsia"/>
      </w:rPr>
    </w:lvl>
  </w:abstractNum>
  <w:abstractNum w:abstractNumId="1">
    <w:nsid w:val="F6862399"/>
    <w:multiLevelType w:val="singleLevel"/>
    <w:tmpl w:val="F6862399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2">
    <w:nsid w:val="F812788A"/>
    <w:multiLevelType w:val="singleLevel"/>
    <w:tmpl w:val="F812788A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3">
    <w:nsid w:val="00E8E9CE"/>
    <w:multiLevelType w:val="singleLevel"/>
    <w:tmpl w:val="00E8E9CE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4">
    <w:nsid w:val="33AD5CED"/>
    <w:multiLevelType w:val="singleLevel"/>
    <w:tmpl w:val="33AD5CED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5">
    <w:nsid w:val="76ADBFC1"/>
    <w:multiLevelType w:val="singleLevel"/>
    <w:tmpl w:val="76ADBFC1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13F654B"/>
    <w:rsid w:val="74E00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24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5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6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9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1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2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13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8">
    <w:name w:val="Normal (Web)"/>
    <w:basedOn w:val="1"/>
    <w:qFormat/>
    <w:uiPriority w:val="0"/>
    <w:pPr>
      <w:widowControl w:val="0"/>
      <w:suppressAutoHyphens/>
    </w:pPr>
    <w:rPr>
      <w:rFonts w:ascii="Calibri" w:hAnsi="Calibri" w:eastAsia="宋体"/>
      <w:sz w:val="24"/>
    </w:rPr>
  </w:style>
  <w:style w:type="paragraph" w:styleId="1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22">
    <w:name w:val="Strong"/>
    <w:basedOn w:val="25"/>
    <w:qFormat/>
    <w:uiPriority w:val="0"/>
    <w:rPr>
      <w:b/>
      <w:bCs/>
    </w:rPr>
  </w:style>
  <w:style w:type="character" w:styleId="23">
    <w:name w:val="page number"/>
    <w:basedOn w:val="25"/>
    <w:qFormat/>
    <w:uiPriority w:val="0"/>
  </w:style>
  <w:style w:type="character" w:customStyle="1" w:styleId="24">
    <w:name w:val="heading 1 Char"/>
    <w:basedOn w:val="25"/>
    <w:link w:val="4"/>
    <w:uiPriority w:val="0"/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character" w:customStyle="1" w:styleId="26">
    <w:name w:val="heading 2 Char"/>
    <w:basedOn w:val="25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7">
    <w:name w:val="heading 3 Char"/>
    <w:basedOn w:val="25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 pgNumType="\* ArabicDash2"/>
  </customProps>
</customData>
</file>

<file path=customXml/itemProps1.xml><?xml version="1.0" encoding="utf-8"?>
<ds:datastoreItem xmlns:ds="http://schemas.openxmlformats.org/officeDocument/2006/customXml" ds:itemID="{2091EBD8-25D3-40B9-823D-A1DFC4F2B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3685</Words>
  <Characters>3711</Characters>
  <Lines>0</Lines>
  <Paragraphs>92</Paragraphs>
  <TotalTime>1</TotalTime>
  <ScaleCrop>false</ScaleCrop>
  <LinksUpToDate>false</LinksUpToDate>
  <CharactersWithSpaces>3824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2026-04-23T02:22:00Z</dcterms:created>
  <dc:creator>huawei</dc:creator>
  <cp:lastModifiedBy>程博文</cp:lastModifiedBy>
  <cp:lastPrinted>2026-05-15T07:41:00Z</cp:lastPrinted>
  <dcterms:modified xsi:type="dcterms:W3CDTF">2026-06-03T09:30:29Z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eyJoZGlkIjoiZGE3Y2I3OTRlNTA1NjUwZGY1NGI3NTM4NWZhMGI4N2IiLCJ1c2VySWQiOiIyMzg4MTg1OTgifQ==</vt:lpwstr>
  </property>
  <property fmtid="{D5CDD505-2E9C-101B-9397-08002B2CF9AE}" pid="3" name="KSOProductBuildVer">
    <vt:lpwstr>2052-12.1.0.26373</vt:lpwstr>
  </property>
  <property fmtid="{D5CDD505-2E9C-101B-9397-08002B2CF9AE}" pid="4" name="ICV">
    <vt:lpwstr>22DD1A0DA69045F984A0BAFEFDB4FED5_12</vt:lpwstr>
  </property>
</Properties>
</file>